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511" w:rsidRDefault="001D5511" w:rsidP="001D5511">
      <w:pPr>
        <w:spacing w:after="0"/>
        <w:ind w:left="5387"/>
      </w:pPr>
      <w:bookmarkStart w:id="0" w:name="5359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39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висновків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електромагнітної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сумісності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дозволів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експлуатацію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радіоелектронних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випромінювальних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пристроїв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інформатизації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28.05.2019 N 254)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пункт</w:t>
      </w:r>
      <w:r>
        <w:rPr>
          <w:rFonts w:ascii="Arial"/>
          <w:color w:val="000000"/>
          <w:sz w:val="18"/>
        </w:rPr>
        <w:t xml:space="preserve"> 3.24 </w:t>
      </w:r>
      <w:r>
        <w:rPr>
          <w:rFonts w:ascii="Arial"/>
          <w:color w:val="000000"/>
          <w:sz w:val="18"/>
        </w:rPr>
        <w:t>розділу</w:t>
      </w:r>
      <w:r>
        <w:rPr>
          <w:rFonts w:ascii="Arial"/>
          <w:color w:val="000000"/>
          <w:sz w:val="18"/>
        </w:rPr>
        <w:t xml:space="preserve"> III)</w:t>
      </w:r>
    </w:p>
    <w:p w:rsidR="001D5511" w:rsidRDefault="001D5511" w:rsidP="001D5511">
      <w:pPr>
        <w:pStyle w:val="3"/>
        <w:spacing w:after="0"/>
        <w:jc w:val="center"/>
      </w:pPr>
      <w:bookmarkStart w:id="1" w:name="5360"/>
      <w:bookmarkEnd w:id="0"/>
      <w:r>
        <w:rPr>
          <w:rFonts w:ascii="Arial"/>
          <w:color w:val="000000"/>
          <w:sz w:val="27"/>
        </w:rPr>
        <w:t>Зразок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бланка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дозволу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експлуатацію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стаціонарного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РЕЗ</w:t>
      </w:r>
    </w:p>
    <w:p w:rsidR="001D5511" w:rsidRDefault="001D5511" w:rsidP="001D5511">
      <w:pPr>
        <w:spacing w:after="0"/>
        <w:jc w:val="center"/>
      </w:pPr>
      <w:bookmarkStart w:id="2" w:name="5361"/>
      <w:bookmarkEnd w:id="1"/>
      <w:r>
        <w:rPr>
          <w:noProof/>
          <w:lang w:val="en-US" w:eastAsia="en-US"/>
        </w:rPr>
        <w:drawing>
          <wp:inline distT="0" distB="0" distL="0" distR="0" wp14:anchorId="083A6BCF" wp14:editId="4446A46A">
            <wp:extent cx="5732145" cy="657715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577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511" w:rsidRDefault="001D5511" w:rsidP="001D5511">
      <w:pPr>
        <w:spacing w:after="0"/>
        <w:ind w:firstLine="240"/>
        <w:jc w:val="right"/>
        <w:rPr>
          <w:rFonts w:ascii="Arial"/>
          <w:color w:val="000000"/>
          <w:sz w:val="18"/>
        </w:rPr>
      </w:pPr>
      <w:bookmarkStart w:id="3" w:name="5365"/>
      <w:bookmarkEnd w:id="2"/>
    </w:p>
    <w:p w:rsidR="001D5511" w:rsidRDefault="001D5511" w:rsidP="001D5511">
      <w:pPr>
        <w:spacing w:after="0"/>
        <w:ind w:firstLine="240"/>
        <w:jc w:val="right"/>
      </w:pPr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39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редакції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інформатизації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28.05.2019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254)</w:t>
      </w:r>
    </w:p>
    <w:p w:rsidR="00B70F42" w:rsidRDefault="00B70F42">
      <w:bookmarkStart w:id="4" w:name="_GoBack"/>
      <w:bookmarkEnd w:id="3"/>
      <w:bookmarkEnd w:id="4"/>
    </w:p>
    <w:sectPr w:rsidR="00B70F42" w:rsidSect="001D5511">
      <w:pgSz w:w="12240" w:h="15840"/>
      <w:pgMar w:top="567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11"/>
    <w:rsid w:val="001D5511"/>
    <w:rsid w:val="00B7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9C74"/>
  <w15:chartTrackingRefBased/>
  <w15:docId w15:val="{2B74B414-CC01-4960-94D5-B9AABDD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511"/>
    <w:pPr>
      <w:spacing w:after="200" w:line="276" w:lineRule="auto"/>
    </w:pPr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D5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511"/>
    <w:rPr>
      <w:rFonts w:asciiTheme="majorHAnsi" w:eastAsiaTheme="majorEastAsia" w:hAnsiTheme="majorHAnsi" w:cstheme="majorBidi"/>
      <w:b/>
      <w:bCs/>
      <w:color w:val="5B9BD5" w:themeColor="accent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БУЧЕЛЬНІКОВ Iлля Вiкторович</dc:creator>
  <cp:keywords/>
  <dc:description/>
  <cp:lastModifiedBy>БУЧЕЛЬНІКОВ Iлля Вiкторович</cp:lastModifiedBy>
  <cp:revision>1</cp:revision>
  <dcterms:created xsi:type="dcterms:W3CDTF">2020-07-09T11:22:00Z</dcterms:created>
  <dcterms:modified xsi:type="dcterms:W3CDTF">2020-07-09T11:24:00Z</dcterms:modified>
</cp:coreProperties>
</file>